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2D charts</w:t>
      </w:r>
      <w:bookmarkEnd w:id="1"/>
    </w:p>
    <w:p>
      <w:pPr>
        <w:sectPr>
          <w:pgSz w:orient="portrait" w:w="11870" w:h="16787"/>
          <w:pgMar w:top="1440" w:right="1440" w:bottom="1440" w:left="1440" w:header="720" w:footer="720" w:gutter="0"/>
          <w:cols w:num="1" w:space="720"/>
        </w:sectPr>
      </w:pPr>
    </w:p>
    <w:p>
      <w:pPr>
        <w:pStyle w:val="Heading2"/>
      </w:pPr>
      <w:bookmarkStart w:id="2" w:name="_Toc2"/>
      <w:r>
        <w:t>Pie</w:t>
      </w:r>
      <w:bookmarkEnd w:id="2"/>
    </w:p>
    <w:p>
      <w:r>
        <w:drawing>
          <wp:inline>
            <wp:extent cx="2286000" cy="1828800"/>
            <wp:docPr id="7" name="Chart7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/>
    <w:p>
      <w:pPr>
        <w:pStyle w:val="Heading2"/>
      </w:pPr>
      <w:bookmarkStart w:id="3" w:name="_Toc3"/>
      <w:r>
        <w:t>Doughnut</w:t>
      </w:r>
      <w:bookmarkEnd w:id="3"/>
    </w:p>
    <w:p>
      <w:r>
        <w:drawing>
          <wp:inline>
            <wp:extent cx="2286000" cy="1828800"/>
            <wp:docPr id="8" name="Chart8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/>
    <w:p>
      <w:pPr>
        <w:pStyle w:val="Heading2"/>
      </w:pPr>
      <w:bookmarkStart w:id="4" w:name="_Toc4"/>
      <w:r>
        <w:t>Bar</w:t>
      </w:r>
      <w:bookmarkEnd w:id="4"/>
    </w:p>
    <w:p>
      <w:r>
        <w:drawing>
          <wp:inline>
            <wp:extent cx="2286000" cy="1828800"/>
            <wp:docPr id="9" name="Chart9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/>
    <w:p>
      <w:pPr>
        <w:pStyle w:val="Heading2"/>
      </w:pPr>
      <w:bookmarkStart w:id="5" w:name="_Toc5"/>
      <w:r>
        <w:t>Column</w:t>
      </w:r>
      <w:bookmarkEnd w:id="5"/>
    </w:p>
    <w:p>
      <w:r>
        <w:drawing>
          <wp:inline>
            <wp:extent cx="2286000" cy="1828800"/>
            <wp:docPr id="10" name="Chart10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/>
    <w:p>
      <w:pPr>
        <w:pStyle w:val="Heading2"/>
      </w:pPr>
      <w:bookmarkStart w:id="6" w:name="_Toc6"/>
      <w:r>
        <w:t>Line</w:t>
      </w:r>
      <w:bookmarkEnd w:id="6"/>
    </w:p>
    <w:p>
      <w:r>
        <w:drawing>
          <wp:inline>
            <wp:extent cx="2286000" cy="1828800"/>
            <wp:docPr id="11" name="Chart11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/>
    <w:p>
      <w:pPr>
        <w:pStyle w:val="Heading2"/>
      </w:pPr>
      <w:bookmarkStart w:id="7" w:name="_Toc7"/>
      <w:r>
        <w:t>Area</w:t>
      </w:r>
      <w:bookmarkEnd w:id="7"/>
    </w:p>
    <w:p>
      <w:r>
        <w:drawing>
          <wp:inline>
            <wp:extent cx="2286000" cy="1828800"/>
            <wp:docPr id="12" name="Chart12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/>
    <w:p>
      <w:pPr>
        <w:pStyle w:val="Heading2"/>
      </w:pPr>
      <w:bookmarkStart w:id="8" w:name="_Toc8"/>
      <w:r>
        <w:t>Scatter</w:t>
      </w:r>
      <w:bookmarkEnd w:id="8"/>
    </w:p>
    <w:p>
      <w:r>
        <w:drawing>
          <wp:inline>
            <wp:extent cx="2286000" cy="1828800"/>
            <wp:docPr id="13" name="Chart13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/>
    <w:p>
      <w:pPr>
        <w:pStyle w:val="Heading2"/>
      </w:pPr>
      <w:bookmarkStart w:id="9" w:name="_Toc9"/>
      <w:r>
        <w:t>Radar</w:t>
      </w:r>
      <w:bookmarkEnd w:id="9"/>
    </w:p>
    <w:p>
      <w:r>
        <w:drawing>
          <wp:inline>
            <wp:extent cx="2286000" cy="1828800"/>
            <wp:docPr id="14" name="Chart14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/>
    <w:p>
      <w:pPr>
        <w:sectPr>
          <w:type w:val="continuous"/>
          <w:pgSz w:orient="portrait" w:w="11870" w:h="16787"/>
          <w:pgMar w:top="1440" w:right="1440" w:bottom="1440" w:left="1440" w:header="720" w:footer="720" w:gutter="0"/>
          <w:cols w:num="2" w:space="720"/>
        </w:sectPr>
      </w:pPr>
    </w:p>
    <w:p>
      <w:pPr>
        <w:pStyle w:val="Heading1"/>
      </w:pPr>
      <w:bookmarkStart w:id="10" w:name="_Toc10"/>
      <w:r>
        <w:t>3D charts</w:t>
      </w:r>
      <w:bookmarkEnd w:id="10"/>
    </w:p>
    <w:p>
      <w:pPr>
        <w:sectPr>
          <w:type w:val="continuous"/>
          <w:pgSz w:orient="portrait" w:w="11870" w:h="16787"/>
          <w:pgMar w:top="1440" w:right="1440" w:bottom="1440" w:left="1440" w:header="720" w:footer="720" w:gutter="0"/>
          <w:cols w:num="1" w:space="720"/>
        </w:sectPr>
      </w:pPr>
    </w:p>
    <w:p>
      <w:pPr>
        <w:pStyle w:val="Heading2"/>
      </w:pPr>
      <w:bookmarkStart w:id="11" w:name="_Toc11"/>
      <w:r>
        <w:t>Pie</w:t>
      </w:r>
      <w:bookmarkEnd w:id="11"/>
    </w:p>
    <w:p>
      <w:r>
        <w:drawing>
          <wp:inline>
            <wp:extent cx="1800000" cy="1440000"/>
            <wp:docPr id="15" name="Chart15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/>
    <w:p>
      <w:pPr>
        <w:pStyle w:val="Heading2"/>
      </w:pPr>
      <w:bookmarkStart w:id="12" w:name="_Toc12"/>
      <w:r>
        <w:t>Bar</w:t>
      </w:r>
      <w:bookmarkEnd w:id="12"/>
    </w:p>
    <w:p>
      <w:r>
        <w:drawing>
          <wp:inline>
            <wp:extent cx="1800000" cy="1440000"/>
            <wp:docPr id="16" name="Chart16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/>
    <w:p>
      <w:pPr>
        <w:pStyle w:val="Heading2"/>
      </w:pPr>
      <w:bookmarkStart w:id="13" w:name="_Toc13"/>
      <w:r>
        <w:t>Column</w:t>
      </w:r>
      <w:bookmarkEnd w:id="13"/>
    </w:p>
    <w:p>
      <w:r>
        <w:drawing>
          <wp:inline>
            <wp:extent cx="1800000" cy="1440000"/>
            <wp:docPr id="17" name="Chart17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/>
    <w:p>
      <w:pPr>
        <w:pStyle w:val="Heading2"/>
      </w:pPr>
      <w:bookmarkStart w:id="14" w:name="_Toc14"/>
      <w:r>
        <w:t>Line</w:t>
      </w:r>
      <w:bookmarkEnd w:id="14"/>
    </w:p>
    <w:p>
      <w:r>
        <w:drawing>
          <wp:inline>
            <wp:extent cx="1800000" cy="1440000"/>
            <wp:docPr id="18" name="Chart18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/>
    <w:p>
      <w:pPr>
        <w:pStyle w:val="Heading2"/>
      </w:pPr>
      <w:bookmarkStart w:id="15" w:name="_Toc15"/>
      <w:r>
        <w:t>Area</w:t>
      </w:r>
      <w:bookmarkEnd w:id="15"/>
    </w:p>
    <w:p>
      <w:r>
        <w:drawing>
          <wp:inline>
            <wp:extent cx="1800000" cy="1440000"/>
            <wp:docPr id="19" name="Chart19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/>
    <w:sectPr>
      <w:type w:val="continuous"/>
      <w:pgSz w:orient="portrait" w:w="11870" w:h="16787"/>
      <w:pgMar w:top="1440" w:right="1440" w:bottom="1440" w:left="1440" w:header="720" w:footer="720" w:gutter="0"/>
      <w:cols w:num="2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spacing w:before="240"/>
    </w:pPr>
    <w:rPr>
      <w:sz w:val="28"/>
      <w:szCs w:val="28"/>
      <w:b/>
    </w:rPr>
  </w:style>
  <w:style w:type="paragraph" w:styleId="Heading2">
    <w:link w:val="Heading2Char"/>
    <w:name w:val="heading 2"/>
    <w:basedOn w:val="Normal"/>
    <w:pPr>
      <w:keepNext w:val="1"/>
      <w:spacing w:before="240"/>
    </w:pPr>
    <w:rPr>
      <w:sz w:val="28"/>
      <w:szCs w:val="28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chart" Target="charts/chart1.xml"/><Relationship Id="rId8" Type="http://schemas.openxmlformats.org/officeDocument/2006/relationships/chart" Target="charts/chart2.xml"/><Relationship Id="rId9" Type="http://schemas.openxmlformats.org/officeDocument/2006/relationships/chart" Target="charts/chart3.xml"/><Relationship Id="rId10" Type="http://schemas.openxmlformats.org/officeDocument/2006/relationships/chart" Target="charts/chart4.xml"/><Relationship Id="rId11" Type="http://schemas.openxmlformats.org/officeDocument/2006/relationships/chart" Target="charts/chart5.xml"/><Relationship Id="rId12" Type="http://schemas.openxmlformats.org/officeDocument/2006/relationships/chart" Target="charts/chart6.xml"/><Relationship Id="rId13" Type="http://schemas.openxmlformats.org/officeDocument/2006/relationships/chart" Target="charts/chart7.xml"/><Relationship Id="rId14" Type="http://schemas.openxmlformats.org/officeDocument/2006/relationships/chart" Target="charts/chart8.xml"/><Relationship Id="rId15" Type="http://schemas.openxmlformats.org/officeDocument/2006/relationships/chart" Target="charts/chart9.xml"/><Relationship Id="rId16" Type="http://schemas.openxmlformats.org/officeDocument/2006/relationships/chart" Target="charts/chart10.xml"/><Relationship Id="rId17" Type="http://schemas.openxmlformats.org/officeDocument/2006/relationships/chart" Target="charts/chart11.xml"/><Relationship Id="rId18" Type="http://schemas.openxmlformats.org/officeDocument/2006/relationships/chart" Target="charts/chart12.xml"/><Relationship Id="rId19" Type="http://schemas.openxmlformats.org/officeDocument/2006/relationships/chart" Target="charts/chart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pieChart>
        <c:varyColors val="1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</c:pieChart>
    </c:plotArea>
  </c:chart>
  <c:spPr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doughnutChart>
        <c:varyColors val="1"/>
        <c:holeSize val="75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</c:doughnutChart>
    </c:plotArea>
  </c:chart>
  <c:spPr>
    <a:ln>
      <a:noFill/>
    </a:ln>
  </c:spPr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barChart>
        <c:varyColors val="0"/>
        <c:barDir val="bar"/>
        <c:grouping val="clustere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b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barChart>
        <c:varyColors val="0"/>
        <c:barDir val="col"/>
        <c:grouping val="clustere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axId val="1"/>
        <c:axId val="2"/>
      </c:b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lineChart>
        <c:varyColors val="0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line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areaChart>
        <c:varyColors val="0"/>
        <c:grouping val="standar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axId val="1"/>
        <c:axId val="2"/>
      </c:area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scatterChart>
        <c:varyColors val="0"/>
        <c:scatterStyle val="marker"/>
        <c:ser>
          <c:idx val="0"/>
          <c:order val="0"/>
          <c:spPr>
            <a:ln>
              <a:noFill/>
            </a:ln>
          </c:spPr>
          <c:xVal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xVal>
          <c:y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yVal>
        </c:ser>
        <c:ser>
          <c:idx val="1"/>
          <c:order val="1"/>
          <c:spPr>
            <a:ln>
              <a:noFill/>
            </a:ln>
          </c:spPr>
          <c:xVal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xVal>
          <c:y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yVal>
        </c:ser>
        <c:axId val="1"/>
        <c:axId val="2"/>
      </c:scatte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radarChart>
        <c:varyColors val="0"/>
        <c:radarStyle val="standar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axId val="1"/>
        <c:axId val="2"/>
      </c:rad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majorGridlines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majorGridlines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pie3DChart>
        <c:varyColors val="1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</c:pie3DChart>
    </c:plotArea>
  </c:chart>
  <c:spPr>
    <a:ln>
      <a:noFill/>
    </a:ln>
  </c:spPr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bar3DChart>
        <c:varyColors val="0"/>
        <c:barDir val="bar"/>
        <c:grouping val="clustere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bar3D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bar3DChart>
        <c:varyColors val="0"/>
        <c:barDir val="col"/>
        <c:grouping val="clustere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bar3D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line3DChart>
        <c:varyColors val="0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line3D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area3DChart>
        <c:varyColors val="0"/>
        <c:grouping val="standar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area3D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2026-11-02T14:31:19+00:00</dcterms:created>
  <dcterms:modified xsi:type="dcterms:W3CDTF">2026-11-02T14:31:19+00:00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